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ED365E">
      <w:pPr>
        <w:jc w:val="center"/>
      </w:pPr>
    </w:p>
    <w:p w:rsidR="00ED365E" w:rsidRDefault="00ED365E" w:rsidP="00ED365E">
      <w:pPr>
        <w:jc w:val="center"/>
      </w:pPr>
    </w:p>
    <w:p w:rsidR="00ED365E" w:rsidRDefault="00ED365E" w:rsidP="00ED365E">
      <w:pPr>
        <w:jc w:val="center"/>
      </w:pPr>
    </w:p>
    <w:p w:rsidR="00ED365E" w:rsidRDefault="00ED365E" w:rsidP="00ED365E">
      <w:pPr>
        <w:jc w:val="center"/>
      </w:pPr>
    </w:p>
    <w:p w:rsidR="00ED365E" w:rsidRPr="00ED365E" w:rsidRDefault="007E6257" w:rsidP="00ED365E">
      <w:pPr>
        <w:jc w:val="center"/>
        <w:rPr>
          <w:b/>
        </w:rPr>
      </w:pPr>
      <w:r w:rsidRPr="00ED365E">
        <w:rPr>
          <w:b/>
        </w:rPr>
        <w:t>Analytics Software</w:t>
      </w:r>
    </w:p>
    <w:p w:rsidR="00ED365E" w:rsidRDefault="00ED365E" w:rsidP="00ED365E">
      <w:pPr>
        <w:jc w:val="center"/>
      </w:pPr>
    </w:p>
    <w:p w:rsidR="00ED365E" w:rsidRDefault="00ED365E" w:rsidP="00ED365E">
      <w:pPr>
        <w:jc w:val="center"/>
      </w:pPr>
    </w:p>
    <w:p w:rsidR="00ED365E" w:rsidRDefault="007E6257" w:rsidP="00ED365E">
      <w:pPr>
        <w:jc w:val="center"/>
      </w:pPr>
      <w:r>
        <w:t>Name</w:t>
      </w:r>
    </w:p>
    <w:p w:rsidR="00ED365E" w:rsidRDefault="007E6257" w:rsidP="00ED365E">
      <w:pPr>
        <w:jc w:val="center"/>
      </w:pPr>
      <w:r>
        <w:t xml:space="preserve">Affiliation </w:t>
      </w:r>
    </w:p>
    <w:p w:rsidR="00ED365E" w:rsidRDefault="007E6257" w:rsidP="00ED365E">
      <w:pPr>
        <w:jc w:val="center"/>
      </w:pPr>
      <w:r>
        <w:t>Date</w:t>
      </w:r>
    </w:p>
    <w:p w:rsidR="00ED365E" w:rsidRDefault="00ED365E" w:rsidP="00ED365E">
      <w:pPr>
        <w:jc w:val="center"/>
      </w:pPr>
    </w:p>
    <w:p w:rsidR="00ED365E" w:rsidRDefault="00ED365E" w:rsidP="00ED365E">
      <w:pPr>
        <w:jc w:val="center"/>
      </w:pPr>
    </w:p>
    <w:p w:rsidR="00ED365E" w:rsidRDefault="00ED365E" w:rsidP="00ED365E">
      <w:pPr>
        <w:jc w:val="center"/>
      </w:pPr>
    </w:p>
    <w:p w:rsidR="00ED365E" w:rsidRDefault="00ED365E" w:rsidP="00ED365E">
      <w:pPr>
        <w:jc w:val="center"/>
      </w:pPr>
    </w:p>
    <w:p w:rsidR="00ED365E" w:rsidRDefault="00ED365E" w:rsidP="00ED365E">
      <w:pPr>
        <w:jc w:val="center"/>
      </w:pPr>
    </w:p>
    <w:p w:rsidR="00ED365E" w:rsidRDefault="00ED365E" w:rsidP="00ED365E">
      <w:pPr>
        <w:jc w:val="center"/>
      </w:pPr>
    </w:p>
    <w:p w:rsidR="00ED365E" w:rsidRDefault="00ED365E" w:rsidP="00ED365E">
      <w:pPr>
        <w:jc w:val="center"/>
      </w:pPr>
    </w:p>
    <w:p w:rsidR="00ED365E" w:rsidRDefault="00ED365E" w:rsidP="00ED365E">
      <w:pPr>
        <w:jc w:val="center"/>
      </w:pPr>
    </w:p>
    <w:p w:rsidR="00ED365E" w:rsidRPr="00ED365E" w:rsidRDefault="007E6257" w:rsidP="00ED365E">
      <w:pPr>
        <w:jc w:val="center"/>
        <w:rPr>
          <w:b/>
        </w:rPr>
      </w:pPr>
      <w:r w:rsidRPr="00ED365E">
        <w:rPr>
          <w:b/>
        </w:rPr>
        <w:t>Analytics Software</w:t>
      </w:r>
    </w:p>
    <w:p w:rsidR="00ED365E" w:rsidRDefault="007E6257" w:rsidP="00ED365E">
      <w:pPr>
        <w:jc w:val="center"/>
        <w:rPr>
          <w:b/>
        </w:rPr>
      </w:pPr>
      <w:r w:rsidRPr="00ED365E">
        <w:rPr>
          <w:b/>
        </w:rPr>
        <w:lastRenderedPageBreak/>
        <w:t>Part One</w:t>
      </w:r>
    </w:p>
    <w:p w:rsidR="00ED365E" w:rsidRDefault="007E6257" w:rsidP="00ED365E">
      <w:r>
        <w:rPr>
          <w:b/>
        </w:rPr>
        <w:tab/>
      </w:r>
      <w:r>
        <w:t xml:space="preserve">Massive data analytics consist of examining vast amounts of </w:t>
      </w:r>
      <w:r w:rsidR="00F126F0">
        <w:t>data. Such</w:t>
      </w:r>
      <w:r>
        <w:t xml:space="preserve"> a process is achieved by </w:t>
      </w:r>
      <w:r w:rsidR="00F126F0">
        <w:t>uncovering</w:t>
      </w:r>
      <w:r>
        <w:t xml:space="preserve"> hidden </w:t>
      </w:r>
      <w:r w:rsidR="00325A36">
        <w:t>patterns, giving</w:t>
      </w:r>
      <w:r>
        <w:t xml:space="preserve"> insights </w:t>
      </w:r>
      <w:r w:rsidR="00325A36">
        <w:t>into its</w:t>
      </w:r>
      <w:r>
        <w:t xml:space="preserve"> decisions and </w:t>
      </w:r>
      <w:r w:rsidR="00325A36">
        <w:t>correlations. Coca-Cola</w:t>
      </w:r>
      <w:r>
        <w:t xml:space="preserve"> is one of the companies that use big data for client acquisition and retention. Last year, the company managed to strengthen its data strategy by </w:t>
      </w:r>
      <w:r w:rsidR="00325A36">
        <w:t>building loyalty</w:t>
      </w:r>
      <w:r>
        <w:t xml:space="preserve"> </w:t>
      </w:r>
      <w:r w:rsidR="00325A36">
        <w:t>programs. Through</w:t>
      </w:r>
      <w:r>
        <w:t xml:space="preserve"> the ADMA managing </w:t>
      </w:r>
      <w:r w:rsidR="00325A36">
        <w:t>director's interview, it</w:t>
      </w:r>
      <w:r>
        <w:t xml:space="preserve"> was revealed that </w:t>
      </w:r>
      <w:r w:rsidR="00325A36">
        <w:t>massive</w:t>
      </w:r>
      <w:r w:rsidR="00F126F0">
        <w:t xml:space="preserve"> data analytics was the reason behind customer acquisition and retention by the </w:t>
      </w:r>
      <w:r w:rsidR="00325A36">
        <w:t>organization. The</w:t>
      </w:r>
      <w:r w:rsidR="00F126F0">
        <w:t xml:space="preserve"> company also uses a high-performance data analytic site to prepare, </w:t>
      </w:r>
      <w:r w:rsidR="00CA2AB0">
        <w:t>analyze</w:t>
      </w:r>
      <w:r w:rsidR="00F126F0">
        <w:t xml:space="preserve"> and merge data from different sources and make understandings accessible across the international </w:t>
      </w:r>
      <w:r w:rsidR="00325A36">
        <w:t xml:space="preserve">company. </w:t>
      </w:r>
      <w:r w:rsidR="00F126F0">
        <w:t xml:space="preserve">Such software enables the organization to collect and summarize massive </w:t>
      </w:r>
      <w:r w:rsidR="00325A36">
        <w:t>data and</w:t>
      </w:r>
      <w:r w:rsidR="00F126F0">
        <w:t xml:space="preserve"> </w:t>
      </w:r>
      <w:r w:rsidR="00325A36">
        <w:t>automatically generate</w:t>
      </w:r>
      <w:r w:rsidR="00F126F0">
        <w:t xml:space="preserve"> and send over 500 individual reports to other </w:t>
      </w:r>
      <w:r w:rsidR="00325A36">
        <w:t>managers. Such</w:t>
      </w:r>
      <w:r w:rsidR="00F126F0">
        <w:t xml:space="preserve"> actions helped in increasing the profit margin and optimizing </w:t>
      </w:r>
      <w:r w:rsidR="00FB5A6D">
        <w:t>inventory</w:t>
      </w:r>
      <w:r w:rsidR="00FB5A6D" w:rsidRPr="00FB5A6D">
        <w:rPr>
          <w:rFonts w:cs="Times New Roman"/>
          <w:szCs w:val="24"/>
          <w:shd w:val="clear" w:color="auto" w:fill="FFFFFF"/>
        </w:rPr>
        <w:t xml:space="preserve"> (Choi et al., 2018)</w:t>
      </w:r>
      <w:r w:rsidR="00F126F0" w:rsidRPr="00FB5A6D">
        <w:rPr>
          <w:rFonts w:cs="Times New Roman"/>
          <w:szCs w:val="24"/>
        </w:rPr>
        <w:t>.</w:t>
      </w:r>
    </w:p>
    <w:p w:rsidR="00F126F0" w:rsidRDefault="007E6257" w:rsidP="00ED365E">
      <w:pPr>
        <w:rPr>
          <w:rFonts w:cs="Times New Roman"/>
          <w:szCs w:val="24"/>
          <w:shd w:val="clear" w:color="auto" w:fill="FFFFFF"/>
        </w:rPr>
      </w:pPr>
      <w:r>
        <w:tab/>
      </w:r>
      <w:r w:rsidR="00414BFF">
        <w:t xml:space="preserve">The second organization is Ferrari, which needed flexibility in collaborating reporting </w:t>
      </w:r>
      <w:r w:rsidR="00325A36">
        <w:t>tools. Since</w:t>
      </w:r>
      <w:r w:rsidR="00414BFF">
        <w:t xml:space="preserve"> the software solution was costly, the company decided to utilize the tableau </w:t>
      </w:r>
      <w:r w:rsidR="00325A36">
        <w:t>software. The</w:t>
      </w:r>
      <w:r w:rsidR="00414BFF">
        <w:t xml:space="preserve"> powerful data analysis software got deployed by the </w:t>
      </w:r>
      <w:r w:rsidR="00325A36">
        <w:t>organization</w:t>
      </w:r>
      <w:r w:rsidR="00414BFF">
        <w:t xml:space="preserve"> without the urgency for external resources. As a result, the installation cost was fair to the </w:t>
      </w:r>
      <w:r w:rsidR="00325A36">
        <w:t>budget. Its</w:t>
      </w:r>
      <w:r w:rsidR="00414BFF">
        <w:t xml:space="preserve"> works can now access individual dashboards and views from the company's intranet in real</w:t>
      </w:r>
      <w:r w:rsidR="00325A36">
        <w:t>-time. Report</w:t>
      </w:r>
      <w:r w:rsidR="00414BFF">
        <w:t xml:space="preserve"> for repair orders and </w:t>
      </w:r>
      <w:r w:rsidR="00325A36">
        <w:t>service, monthly</w:t>
      </w:r>
      <w:r w:rsidR="00414BFF">
        <w:t xml:space="preserve"> expenditures, and sales </w:t>
      </w:r>
      <w:r w:rsidR="00325A36">
        <w:t>analysis</w:t>
      </w:r>
      <w:r w:rsidR="00414BFF">
        <w:t xml:space="preserve"> are comfortably shared and created in the entire organization. In the early days, the company </w:t>
      </w:r>
      <w:r w:rsidR="00FD4117">
        <w:t xml:space="preserve">did the reports manually, distributing and entering data through </w:t>
      </w:r>
      <w:r w:rsidR="00325A36">
        <w:t>email. Currently</w:t>
      </w:r>
      <w:r w:rsidR="00FD4117">
        <w:t>, the process is time</w:t>
      </w:r>
      <w:r w:rsidR="00325A36">
        <w:t>-saving, easy</w:t>
      </w:r>
      <w:r w:rsidR="00FD4117">
        <w:t xml:space="preserve">, and more </w:t>
      </w:r>
      <w:r w:rsidR="00325A36">
        <w:t>efficient. The</w:t>
      </w:r>
      <w:r w:rsidR="00FD4117">
        <w:t xml:space="preserve"> software not only meets the company's </w:t>
      </w:r>
      <w:r w:rsidR="00325A36">
        <w:t>situational</w:t>
      </w:r>
      <w:r w:rsidR="00FD4117">
        <w:t xml:space="preserve"> requirements and needs it also permitted in-house implementation. The </w:t>
      </w:r>
      <w:r w:rsidR="00325A36">
        <w:t xml:space="preserve">IT </w:t>
      </w:r>
      <w:r w:rsidR="00FD4117">
        <w:t xml:space="preserve">director of Ferrari, who was initially discouraged by the cost and complexity of BI solutions, was available. The company needed a </w:t>
      </w:r>
      <w:r w:rsidR="00FD4117">
        <w:lastRenderedPageBreak/>
        <w:t xml:space="preserve">simple platform. The IT director acknowledged the effectiveness, intuitiveness, and simplicity of the tableau </w:t>
      </w:r>
      <w:r w:rsidR="00FB5A6D" w:rsidRPr="00FB5A6D">
        <w:rPr>
          <w:rFonts w:cs="Times New Roman"/>
          <w:szCs w:val="24"/>
        </w:rPr>
        <w:t>desktop</w:t>
      </w:r>
      <w:r w:rsidR="00FB5A6D" w:rsidRPr="00FB5A6D">
        <w:rPr>
          <w:rFonts w:cs="Times New Roman"/>
          <w:szCs w:val="24"/>
          <w:shd w:val="clear" w:color="auto" w:fill="FFFFFF"/>
        </w:rPr>
        <w:t xml:space="preserve"> (</w:t>
      </w:r>
      <w:proofErr w:type="spellStart"/>
      <w:r w:rsidR="00FB5A6D" w:rsidRPr="00FB5A6D">
        <w:rPr>
          <w:rFonts w:cs="Times New Roman"/>
          <w:szCs w:val="24"/>
          <w:shd w:val="clear" w:color="auto" w:fill="FFFFFF"/>
        </w:rPr>
        <w:t>Hoelscher</w:t>
      </w:r>
      <w:proofErr w:type="spellEnd"/>
      <w:r w:rsidR="00FB5A6D" w:rsidRPr="00FB5A6D">
        <w:rPr>
          <w:rFonts w:cs="Times New Roman"/>
          <w:szCs w:val="24"/>
          <w:shd w:val="clear" w:color="auto" w:fill="FFFFFF"/>
        </w:rPr>
        <w:t xml:space="preserve"> &amp; Mortimer, 2018).</w:t>
      </w: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DD128D" w:rsidRDefault="00DD128D" w:rsidP="00ED365E">
      <w:pPr>
        <w:rPr>
          <w:rFonts w:cs="Times New Roman"/>
          <w:szCs w:val="24"/>
          <w:shd w:val="clear" w:color="auto" w:fill="FFFFFF"/>
        </w:rPr>
      </w:pPr>
    </w:p>
    <w:p w:rsidR="00FB5A6D" w:rsidRPr="00FB5A6D" w:rsidRDefault="00FB5A6D" w:rsidP="00FB5A6D">
      <w:pPr>
        <w:shd w:val="clear" w:color="auto" w:fill="FFFFFF"/>
        <w:spacing w:after="0" w:line="240" w:lineRule="auto"/>
        <w:jc w:val="center"/>
        <w:rPr>
          <w:rFonts w:eastAsia="Times New Roman" w:cs="Times New Roman"/>
          <w:szCs w:val="24"/>
        </w:rPr>
      </w:pPr>
      <w:r w:rsidRPr="00FB5A6D">
        <w:rPr>
          <w:rFonts w:eastAsia="Times New Roman" w:cs="Times New Roman"/>
          <w:szCs w:val="24"/>
        </w:rPr>
        <w:t>References</w:t>
      </w:r>
    </w:p>
    <w:p w:rsidR="00FB5A6D" w:rsidRPr="00FB5A6D" w:rsidRDefault="00FB5A6D" w:rsidP="00FB5A6D">
      <w:pPr>
        <w:shd w:val="clear" w:color="auto" w:fill="FFFFFF"/>
        <w:spacing w:after="0" w:line="550" w:lineRule="atLeast"/>
        <w:ind w:left="720" w:right="75" w:hanging="720"/>
        <w:rPr>
          <w:rFonts w:eastAsia="Times New Roman" w:cs="Times New Roman"/>
          <w:szCs w:val="24"/>
        </w:rPr>
      </w:pPr>
      <w:r w:rsidRPr="00FB5A6D">
        <w:rPr>
          <w:rFonts w:eastAsia="Times New Roman" w:cs="Times New Roman"/>
          <w:szCs w:val="24"/>
        </w:rPr>
        <w:lastRenderedPageBreak/>
        <w:t>Choi, T., Wallace, S. W., &amp; Wang, Y. (2018). Big data analytics in operations management. </w:t>
      </w:r>
      <w:r w:rsidRPr="00FB5A6D">
        <w:rPr>
          <w:rFonts w:eastAsia="Times New Roman" w:cs="Times New Roman"/>
          <w:i/>
          <w:iCs/>
          <w:szCs w:val="24"/>
        </w:rPr>
        <w:t>Production and Operations Management</w:t>
      </w:r>
      <w:r w:rsidRPr="00FB5A6D">
        <w:rPr>
          <w:rFonts w:eastAsia="Times New Roman" w:cs="Times New Roman"/>
          <w:szCs w:val="24"/>
        </w:rPr>
        <w:t>, </w:t>
      </w:r>
      <w:r w:rsidRPr="00FB5A6D">
        <w:rPr>
          <w:rFonts w:eastAsia="Times New Roman" w:cs="Times New Roman"/>
          <w:i/>
          <w:iCs/>
          <w:szCs w:val="24"/>
        </w:rPr>
        <w:t>27</w:t>
      </w:r>
      <w:r w:rsidRPr="00FB5A6D">
        <w:rPr>
          <w:rFonts w:eastAsia="Times New Roman" w:cs="Times New Roman"/>
          <w:szCs w:val="24"/>
        </w:rPr>
        <w:t>(10), 1868-1883. </w:t>
      </w:r>
      <w:hyperlink r:id="rId6" w:history="1">
        <w:r w:rsidRPr="00FB5A6D">
          <w:rPr>
            <w:rFonts w:eastAsia="Times New Roman" w:cs="Times New Roman"/>
            <w:szCs w:val="24"/>
          </w:rPr>
          <w:t>https://doi.org/10.1111/poms.12838</w:t>
        </w:r>
      </w:hyperlink>
    </w:p>
    <w:p w:rsidR="00FB5A6D" w:rsidRPr="00FB5A6D" w:rsidRDefault="00FB5A6D" w:rsidP="00FB5A6D">
      <w:pPr>
        <w:shd w:val="clear" w:color="auto" w:fill="FFFFFF"/>
        <w:spacing w:after="0" w:line="550" w:lineRule="atLeast"/>
        <w:ind w:left="720" w:right="75" w:hanging="720"/>
        <w:rPr>
          <w:rFonts w:eastAsia="Times New Roman" w:cs="Times New Roman"/>
          <w:szCs w:val="24"/>
        </w:rPr>
      </w:pPr>
      <w:proofErr w:type="spellStart"/>
      <w:r w:rsidRPr="00FB5A6D">
        <w:rPr>
          <w:rFonts w:eastAsia="Times New Roman" w:cs="Times New Roman"/>
          <w:szCs w:val="24"/>
        </w:rPr>
        <w:t>Hoelscher</w:t>
      </w:r>
      <w:proofErr w:type="spellEnd"/>
      <w:r w:rsidRPr="00FB5A6D">
        <w:rPr>
          <w:rFonts w:eastAsia="Times New Roman" w:cs="Times New Roman"/>
          <w:szCs w:val="24"/>
        </w:rPr>
        <w:t>, J., &amp; Mortimer, A. (2018). Using tableau to visualize data and drive decision-making. </w:t>
      </w:r>
      <w:r w:rsidRPr="00FB5A6D">
        <w:rPr>
          <w:rFonts w:eastAsia="Times New Roman" w:cs="Times New Roman"/>
          <w:i/>
          <w:iCs/>
          <w:szCs w:val="24"/>
        </w:rPr>
        <w:t>Journal of Accounting Education</w:t>
      </w:r>
      <w:r w:rsidRPr="00FB5A6D">
        <w:rPr>
          <w:rFonts w:eastAsia="Times New Roman" w:cs="Times New Roman"/>
          <w:szCs w:val="24"/>
        </w:rPr>
        <w:t>, </w:t>
      </w:r>
      <w:r w:rsidRPr="00FB5A6D">
        <w:rPr>
          <w:rFonts w:eastAsia="Times New Roman" w:cs="Times New Roman"/>
          <w:i/>
          <w:iCs/>
          <w:szCs w:val="24"/>
        </w:rPr>
        <w:t>44</w:t>
      </w:r>
      <w:r w:rsidRPr="00FB5A6D">
        <w:rPr>
          <w:rFonts w:eastAsia="Times New Roman" w:cs="Times New Roman"/>
          <w:szCs w:val="24"/>
        </w:rPr>
        <w:t>, 49-59. </w:t>
      </w:r>
      <w:hyperlink r:id="rId7" w:history="1">
        <w:r w:rsidRPr="00FB5A6D">
          <w:rPr>
            <w:rFonts w:eastAsia="Times New Roman" w:cs="Times New Roman"/>
            <w:szCs w:val="24"/>
          </w:rPr>
          <w:t>https://doi.org/10.1016/j.jaccedu.2018.05.002</w:t>
        </w:r>
      </w:hyperlink>
    </w:p>
    <w:p w:rsidR="00FB5A6D" w:rsidRDefault="00FB5A6D" w:rsidP="00ED365E">
      <w:pPr>
        <w:rPr>
          <w:rFonts w:cs="Times New Roman"/>
          <w:szCs w:val="24"/>
        </w:rPr>
      </w:pPr>
    </w:p>
    <w:p w:rsidR="00DD128D" w:rsidRDefault="00DD128D" w:rsidP="00ED365E">
      <w:pPr>
        <w:rPr>
          <w:rFonts w:cs="Times New Roman"/>
          <w:szCs w:val="24"/>
        </w:rPr>
      </w:pPr>
    </w:p>
    <w:p w:rsidR="00DD128D" w:rsidRDefault="00DD128D" w:rsidP="00ED365E">
      <w:pPr>
        <w:rPr>
          <w:rFonts w:cs="Times New Roman"/>
          <w:szCs w:val="24"/>
        </w:rPr>
      </w:pPr>
    </w:p>
    <w:p w:rsidR="00DD128D" w:rsidRDefault="00DD128D" w:rsidP="00ED365E">
      <w:pPr>
        <w:rPr>
          <w:rFonts w:cs="Times New Roman"/>
          <w:szCs w:val="24"/>
        </w:rPr>
      </w:pPr>
    </w:p>
    <w:p w:rsidR="00DD128D" w:rsidRDefault="00DD128D" w:rsidP="00ED365E">
      <w:pPr>
        <w:rPr>
          <w:rFonts w:cs="Times New Roman"/>
          <w:szCs w:val="24"/>
        </w:rPr>
      </w:pPr>
    </w:p>
    <w:p w:rsidR="00DD128D" w:rsidRDefault="00DD128D" w:rsidP="00ED365E">
      <w:pPr>
        <w:rPr>
          <w:rFonts w:cs="Times New Roman"/>
          <w:szCs w:val="24"/>
        </w:rPr>
      </w:pPr>
    </w:p>
    <w:p w:rsidR="00DD128D" w:rsidRDefault="00DD128D" w:rsidP="00ED365E">
      <w:pPr>
        <w:rPr>
          <w:rFonts w:cs="Times New Roman"/>
          <w:szCs w:val="24"/>
        </w:rPr>
      </w:pPr>
    </w:p>
    <w:p w:rsidR="00DD128D" w:rsidRDefault="00DD128D" w:rsidP="00ED365E">
      <w:pPr>
        <w:rPr>
          <w:rFonts w:cs="Times New Roman"/>
          <w:szCs w:val="24"/>
        </w:rPr>
      </w:pPr>
    </w:p>
    <w:p w:rsidR="00DD128D" w:rsidRDefault="00DD128D" w:rsidP="00ED365E">
      <w:pPr>
        <w:rPr>
          <w:rFonts w:cs="Times New Roman"/>
          <w:szCs w:val="24"/>
        </w:rPr>
      </w:pPr>
    </w:p>
    <w:p w:rsidR="00DD128D" w:rsidRDefault="00DD128D" w:rsidP="00ED365E">
      <w:pPr>
        <w:rPr>
          <w:rFonts w:cs="Times New Roman"/>
          <w:szCs w:val="24"/>
        </w:rPr>
      </w:pPr>
    </w:p>
    <w:p w:rsidR="00DD128D" w:rsidRDefault="00DD128D" w:rsidP="00ED365E">
      <w:pPr>
        <w:rPr>
          <w:rFonts w:cs="Times New Roman"/>
          <w:szCs w:val="24"/>
        </w:rPr>
      </w:pPr>
    </w:p>
    <w:p w:rsidR="00DD128D" w:rsidRDefault="00DD128D" w:rsidP="00ED365E">
      <w:pPr>
        <w:rPr>
          <w:rFonts w:cs="Times New Roman"/>
          <w:szCs w:val="24"/>
        </w:rPr>
      </w:pPr>
    </w:p>
    <w:p w:rsidR="00DD128D" w:rsidRPr="00FB5A6D" w:rsidRDefault="00DD128D" w:rsidP="00ED365E">
      <w:pPr>
        <w:rPr>
          <w:rFonts w:cs="Times New Roman"/>
          <w:szCs w:val="24"/>
        </w:rPr>
      </w:pPr>
    </w:p>
    <w:p w:rsidR="00325A36" w:rsidRDefault="007E6257" w:rsidP="00325A36">
      <w:pPr>
        <w:jc w:val="center"/>
      </w:pPr>
      <w:r w:rsidRPr="00325A36">
        <w:rPr>
          <w:b/>
        </w:rPr>
        <w:t>Part Two</w:t>
      </w:r>
    </w:p>
    <w:p w:rsidR="00325A36" w:rsidRDefault="007E6257" w:rsidP="00325A36">
      <w:r>
        <w:lastRenderedPageBreak/>
        <w:tab/>
        <w:t xml:space="preserve">In last year CAM4 organization was breached, putting sensitive data for more </w:t>
      </w:r>
      <w:r w:rsidR="00CA2AB0">
        <w:t>than</w:t>
      </w:r>
      <w:r>
        <w:t xml:space="preserve"> 5 million people at risk of </w:t>
      </w:r>
      <w:r w:rsidR="00CA2AB0">
        <w:t>fraud, identity</w:t>
      </w:r>
      <w:r>
        <w:t xml:space="preserve"> theft, and blackmail </w:t>
      </w:r>
      <w:r w:rsidR="00CA2AB0">
        <w:t>attempts. A</w:t>
      </w:r>
      <w:r>
        <w:t xml:space="preserve"> group of security researchers uncovered a leaky database from the </w:t>
      </w:r>
      <w:r w:rsidR="00CA2AB0">
        <w:t>organization. The</w:t>
      </w:r>
      <w:r w:rsidR="00240871">
        <w:t xml:space="preserve"> database exposed almost seven terabytes of user information from the organization members and their </w:t>
      </w:r>
      <w:r w:rsidR="00CA2AB0">
        <w:t>clients. During</w:t>
      </w:r>
      <w:r w:rsidR="00240871">
        <w:t xml:space="preserve"> the breach, the hackers leaked password </w:t>
      </w:r>
      <w:r w:rsidR="00CA2AB0">
        <w:t>hashes, last</w:t>
      </w:r>
      <w:r w:rsidR="00240871">
        <w:t xml:space="preserve"> and first name, and email </w:t>
      </w:r>
      <w:r w:rsidR="00CA2AB0">
        <w:t>address. The</w:t>
      </w:r>
      <w:r w:rsidR="00240871">
        <w:t xml:space="preserve"> security researcher pinpointed over 1o million </w:t>
      </w:r>
      <w:r w:rsidR="00CA2AB0">
        <w:t>consisting of password</w:t>
      </w:r>
      <w:r w:rsidR="00240871">
        <w:t xml:space="preserve"> hashes and </w:t>
      </w:r>
      <w:r w:rsidR="00CA2AB0">
        <w:t>emails. Italian</w:t>
      </w:r>
      <w:r w:rsidR="00240871">
        <w:t xml:space="preserve"> and Brazilian users were most affected, although it was challenging to pin point the exact number of passwords and </w:t>
      </w:r>
      <w:r w:rsidR="00CA2AB0">
        <w:t>emails. After</w:t>
      </w:r>
      <w:r w:rsidR="00240871">
        <w:t xml:space="preserve"> a while, the database was taken down by the parent </w:t>
      </w:r>
      <w:r w:rsidR="00CA2AB0">
        <w:t>company. The</w:t>
      </w:r>
      <w:r w:rsidR="00240871">
        <w:t xml:space="preserve"> mistake from CAM4 orga</w:t>
      </w:r>
      <w:r w:rsidR="00731C6E">
        <w:t xml:space="preserve">nization made was configuration errors in the database and log aggregation that </w:t>
      </w:r>
      <w:r w:rsidR="00CA2AB0">
        <w:t>was not</w:t>
      </w:r>
      <w:r w:rsidR="00731C6E">
        <w:t xml:space="preserve"> classified as </w:t>
      </w:r>
      <w:r w:rsidR="00731C6E" w:rsidRPr="00DD128D">
        <w:rPr>
          <w:rFonts w:cs="Times New Roman"/>
          <w:szCs w:val="24"/>
        </w:rPr>
        <w:t>confidential</w:t>
      </w:r>
      <w:r w:rsidR="00FB5A6D" w:rsidRPr="00DD128D">
        <w:rPr>
          <w:rFonts w:cs="Times New Roman"/>
          <w:szCs w:val="24"/>
        </w:rPr>
        <w:t xml:space="preserve"> </w:t>
      </w:r>
      <w:r w:rsidR="00FB5A6D" w:rsidRPr="00DD128D">
        <w:rPr>
          <w:rFonts w:cs="Times New Roman"/>
          <w:szCs w:val="24"/>
          <w:shd w:val="clear" w:color="auto" w:fill="FFFFFF"/>
        </w:rPr>
        <w:t>(Barrett, 2020)</w:t>
      </w:r>
      <w:r w:rsidR="00731C6E" w:rsidRPr="00DD128D">
        <w:rPr>
          <w:rFonts w:cs="Times New Roman"/>
          <w:szCs w:val="24"/>
        </w:rPr>
        <w:t>.</w:t>
      </w:r>
      <w:r w:rsidR="00240871" w:rsidRPr="00DD128D">
        <w:t xml:space="preserve"> </w:t>
      </w:r>
    </w:p>
    <w:p w:rsidR="00731C6E" w:rsidRPr="00DD128D" w:rsidRDefault="007E6257" w:rsidP="00325A36">
      <w:pPr>
        <w:rPr>
          <w:rFonts w:cs="Times New Roman"/>
          <w:szCs w:val="24"/>
        </w:rPr>
      </w:pPr>
      <w:r>
        <w:tab/>
        <w:t xml:space="preserve">Breach of verification.io exposed the personal data of more than 700 </w:t>
      </w:r>
      <w:r w:rsidR="00CA2AB0">
        <w:t>users. The</w:t>
      </w:r>
      <w:r>
        <w:t xml:space="preserve"> data breach was identified by security researcher Bob </w:t>
      </w:r>
      <w:r w:rsidR="00CA2AB0">
        <w:t>Diatchenko</w:t>
      </w:r>
      <w:r>
        <w:t xml:space="preserve"> who followed the trail for exposure back to verification.io.the exposed data included emails</w:t>
      </w:r>
      <w:r w:rsidR="00CA2AB0">
        <w:t xml:space="preserve">, IP </w:t>
      </w:r>
      <w:r>
        <w:t xml:space="preserve">address, and gender, amongst </w:t>
      </w:r>
      <w:r w:rsidR="00CA2AB0">
        <w:t>others. In</w:t>
      </w:r>
      <w:r w:rsidR="0083444F">
        <w:t xml:space="preserve"> February, the security researchers identified a 150 GB of non-password protected </w:t>
      </w:r>
      <w:proofErr w:type="spellStart"/>
      <w:r w:rsidR="0083444F">
        <w:t>mongoDB.this</w:t>
      </w:r>
      <w:proofErr w:type="spellEnd"/>
      <w:r w:rsidR="0083444F">
        <w:t xml:space="preserve"> was among the largest data breach tracing back to a single </w:t>
      </w:r>
      <w:r w:rsidR="00CA2AB0">
        <w:t>source. Profiles</w:t>
      </w:r>
      <w:r w:rsidR="0083444F">
        <w:t xml:space="preserve"> for many businesses were also located in the data </w:t>
      </w:r>
      <w:r w:rsidR="00CA2AB0">
        <w:t>breach. Besides</w:t>
      </w:r>
      <w:r w:rsidR="009257ED">
        <w:t xml:space="preserve">, the records seemed to mostly </w:t>
      </w:r>
      <w:r w:rsidR="00CA2AB0">
        <w:t>make</w:t>
      </w:r>
      <w:r w:rsidR="009257ED">
        <w:t xml:space="preserve"> up for public users, such as annual revenue and contact </w:t>
      </w:r>
      <w:r w:rsidR="00CA2AB0">
        <w:t>information. The</w:t>
      </w:r>
      <w:r w:rsidR="009257ED">
        <w:t xml:space="preserve"> reason for the violation was an unsecured public database containing client </w:t>
      </w:r>
      <w:r w:rsidR="00CA2AB0">
        <w:t>information. The</w:t>
      </w:r>
      <w:r w:rsidR="009257ED">
        <w:t xml:space="preserve"> independent researcher identified the data breach and reported it to the company before going public </w:t>
      </w:r>
      <w:r w:rsidR="00CA2AB0">
        <w:t>in the</w:t>
      </w:r>
      <w:r w:rsidR="009257ED">
        <w:t xml:space="preserve"> following </w:t>
      </w:r>
      <w:r w:rsidR="00CA2AB0">
        <w:t>month. The</w:t>
      </w:r>
      <w:r w:rsidR="009257ED">
        <w:t xml:space="preserve"> organization took down their database the same day they </w:t>
      </w:r>
      <w:r w:rsidR="00CA2AB0">
        <w:t>received</w:t>
      </w:r>
      <w:r w:rsidR="009257ED">
        <w:t xml:space="preserve"> notification about the data </w:t>
      </w:r>
      <w:r w:rsidR="00CA2AB0">
        <w:t>breach. The</w:t>
      </w:r>
      <w:r w:rsidR="009257ED">
        <w:t xml:space="preserve"> organization claimed the database was </w:t>
      </w:r>
      <w:r w:rsidR="00CA2AB0">
        <w:t>exposed</w:t>
      </w:r>
      <w:r w:rsidR="009257ED">
        <w:t xml:space="preserve"> for a </w:t>
      </w:r>
      <w:r w:rsidR="00CA2AB0">
        <w:t>short</w:t>
      </w:r>
      <w:r w:rsidR="009257ED">
        <w:t xml:space="preserve"> while though it was challenging to </w:t>
      </w:r>
      <w:r w:rsidR="00CA2AB0">
        <w:t>back up</w:t>
      </w:r>
      <w:r w:rsidR="009257ED">
        <w:t xml:space="preserve"> their </w:t>
      </w:r>
      <w:r w:rsidR="00CA2AB0">
        <w:t>claim. Such</w:t>
      </w:r>
      <w:r w:rsidR="009257ED">
        <w:t xml:space="preserve"> email breach </w:t>
      </w:r>
      <w:r w:rsidR="00CA2AB0">
        <w:t>remains</w:t>
      </w:r>
      <w:r w:rsidR="009257ED">
        <w:t xml:space="preserve"> a crucial reminder that organizations dealing with personal data should focus on data </w:t>
      </w:r>
      <w:r w:rsidR="009257ED" w:rsidRPr="00DD128D">
        <w:rPr>
          <w:rFonts w:cs="Times New Roman"/>
          <w:szCs w:val="24"/>
        </w:rPr>
        <w:t>security</w:t>
      </w:r>
      <w:r w:rsidR="00DD128D" w:rsidRPr="00DD128D">
        <w:rPr>
          <w:rFonts w:cs="Times New Roman"/>
          <w:szCs w:val="24"/>
        </w:rPr>
        <w:t xml:space="preserve"> </w:t>
      </w:r>
      <w:r w:rsidR="00DD128D" w:rsidRPr="00DD128D">
        <w:rPr>
          <w:rFonts w:cs="Times New Roman"/>
          <w:szCs w:val="24"/>
          <w:shd w:val="clear" w:color="auto" w:fill="FFFFFF"/>
        </w:rPr>
        <w:t>(</w:t>
      </w:r>
      <w:r w:rsidR="00DD128D" w:rsidRPr="00DD128D">
        <w:rPr>
          <w:rStyle w:val="Emphasis"/>
          <w:rFonts w:cs="Times New Roman"/>
          <w:szCs w:val="24"/>
          <w:shd w:val="clear" w:color="auto" w:fill="FFFFFF"/>
        </w:rPr>
        <w:t xml:space="preserve">Bank information security news, training, education - </w:t>
      </w:r>
      <w:proofErr w:type="spellStart"/>
      <w:r w:rsidR="00DD128D" w:rsidRPr="00DD128D">
        <w:rPr>
          <w:rStyle w:val="Emphasis"/>
          <w:rFonts w:cs="Times New Roman"/>
          <w:szCs w:val="24"/>
          <w:shd w:val="clear" w:color="auto" w:fill="FFFFFF"/>
        </w:rPr>
        <w:t>BankInfoSecurity</w:t>
      </w:r>
      <w:proofErr w:type="spellEnd"/>
      <w:r w:rsidR="00DD128D" w:rsidRPr="00DD128D">
        <w:rPr>
          <w:rFonts w:cs="Times New Roman"/>
          <w:szCs w:val="24"/>
          <w:shd w:val="clear" w:color="auto" w:fill="FFFFFF"/>
        </w:rPr>
        <w:t>, 2019).</w:t>
      </w:r>
      <w:r w:rsidRPr="00DD128D">
        <w:rPr>
          <w:rFonts w:cs="Times New Roman"/>
          <w:szCs w:val="24"/>
        </w:rPr>
        <w:t xml:space="preserve"> </w:t>
      </w: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Default="00DD128D" w:rsidP="00DD128D">
      <w:pPr>
        <w:shd w:val="clear" w:color="auto" w:fill="FFFFFF"/>
        <w:spacing w:after="0" w:line="240" w:lineRule="auto"/>
        <w:jc w:val="center"/>
        <w:rPr>
          <w:rFonts w:eastAsia="Times New Roman" w:cs="Times New Roman"/>
          <w:szCs w:val="24"/>
        </w:rPr>
      </w:pPr>
    </w:p>
    <w:p w:rsidR="00DD128D" w:rsidRPr="00DD128D" w:rsidRDefault="00DD128D" w:rsidP="00DD128D">
      <w:pPr>
        <w:shd w:val="clear" w:color="auto" w:fill="FFFFFF"/>
        <w:spacing w:after="0" w:line="240" w:lineRule="auto"/>
        <w:jc w:val="center"/>
        <w:rPr>
          <w:rFonts w:eastAsia="Times New Roman" w:cs="Times New Roman"/>
          <w:szCs w:val="24"/>
        </w:rPr>
      </w:pPr>
      <w:r w:rsidRPr="00DD128D">
        <w:rPr>
          <w:rFonts w:eastAsia="Times New Roman" w:cs="Times New Roman"/>
          <w:szCs w:val="24"/>
        </w:rPr>
        <w:t>References</w:t>
      </w:r>
    </w:p>
    <w:p w:rsidR="00DD128D" w:rsidRPr="00DD128D" w:rsidRDefault="00DD128D" w:rsidP="00DD128D">
      <w:pPr>
        <w:shd w:val="clear" w:color="auto" w:fill="FFFFFF"/>
        <w:spacing w:after="0" w:line="550" w:lineRule="atLeast"/>
        <w:ind w:left="720" w:right="75" w:hanging="720"/>
        <w:rPr>
          <w:rFonts w:eastAsia="Times New Roman" w:cs="Times New Roman"/>
          <w:szCs w:val="24"/>
        </w:rPr>
      </w:pPr>
      <w:r>
        <w:rPr>
          <w:rFonts w:eastAsia="Times New Roman" w:cs="Times New Roman"/>
          <w:szCs w:val="24"/>
        </w:rPr>
        <w:t>(2019</w:t>
      </w:r>
      <w:r w:rsidRPr="00DD128D">
        <w:rPr>
          <w:rFonts w:eastAsia="Times New Roman" w:cs="Times New Roman"/>
          <w:szCs w:val="24"/>
        </w:rPr>
        <w:t>). Bank information security news, training, education - BankInfoSecurity. </w:t>
      </w:r>
      <w:hyperlink r:id="rId8" w:history="1">
        <w:r w:rsidRPr="00DD128D">
          <w:rPr>
            <w:rFonts w:eastAsia="Times New Roman" w:cs="Times New Roman"/>
            <w:szCs w:val="24"/>
            <w:u w:val="single"/>
          </w:rPr>
          <w:t>https://www.bankinfosecurity.com/breach-verificationsio-exposes</w:t>
        </w:r>
      </w:hyperlink>
    </w:p>
    <w:p w:rsidR="00DD128D" w:rsidRPr="00DD128D" w:rsidRDefault="00DD128D" w:rsidP="00DD128D">
      <w:pPr>
        <w:shd w:val="clear" w:color="auto" w:fill="FFFFFF"/>
        <w:spacing w:after="0" w:line="550" w:lineRule="atLeast"/>
        <w:ind w:left="720" w:right="75" w:hanging="720"/>
        <w:rPr>
          <w:rFonts w:eastAsia="Times New Roman" w:cs="Times New Roman"/>
          <w:szCs w:val="24"/>
        </w:rPr>
      </w:pPr>
      <w:r w:rsidRPr="00DD128D">
        <w:rPr>
          <w:rFonts w:eastAsia="Times New Roman" w:cs="Times New Roman"/>
          <w:szCs w:val="24"/>
        </w:rPr>
        <w:lastRenderedPageBreak/>
        <w:t>Barrett, B. (2020, May 5). </w:t>
      </w:r>
      <w:r w:rsidRPr="00DD128D">
        <w:rPr>
          <w:rFonts w:eastAsia="Times New Roman" w:cs="Times New Roman"/>
          <w:i/>
          <w:iCs/>
          <w:szCs w:val="24"/>
        </w:rPr>
        <w:t>An adult cam site exposed 10.88 billion records</w:t>
      </w:r>
      <w:r w:rsidRPr="00DD128D">
        <w:rPr>
          <w:rFonts w:eastAsia="Times New Roman" w:cs="Times New Roman"/>
          <w:szCs w:val="24"/>
        </w:rPr>
        <w:t>. Wired. </w:t>
      </w:r>
      <w:hyperlink r:id="rId9" w:history="1">
        <w:r w:rsidRPr="00DD128D">
          <w:rPr>
            <w:rFonts w:eastAsia="Times New Roman" w:cs="Times New Roman"/>
            <w:szCs w:val="24"/>
          </w:rPr>
          <w:t>https://www.wired.com/story/cam4-adult-cam-data-leak-7tb/</w:t>
        </w:r>
      </w:hyperlink>
    </w:p>
    <w:p w:rsidR="00ED365E" w:rsidRDefault="00ED365E" w:rsidP="00ED365E">
      <w:pPr>
        <w:jc w:val="center"/>
        <w:rPr>
          <w:rFonts w:cs="Times New Roman"/>
          <w:szCs w:val="24"/>
        </w:rPr>
      </w:pPr>
    </w:p>
    <w:p w:rsidR="001A11D4" w:rsidRDefault="001A11D4" w:rsidP="00ED365E">
      <w:pPr>
        <w:jc w:val="center"/>
        <w:rPr>
          <w:rFonts w:cs="Times New Roman"/>
          <w:szCs w:val="24"/>
        </w:rPr>
      </w:pPr>
    </w:p>
    <w:p w:rsidR="001A11D4" w:rsidRDefault="001A11D4" w:rsidP="00ED365E">
      <w:pPr>
        <w:jc w:val="center"/>
        <w:rPr>
          <w:rFonts w:cs="Times New Roman"/>
          <w:szCs w:val="24"/>
        </w:rPr>
      </w:pPr>
    </w:p>
    <w:p w:rsidR="001A11D4" w:rsidRDefault="001A11D4" w:rsidP="00ED365E">
      <w:pPr>
        <w:jc w:val="center"/>
        <w:rPr>
          <w:rFonts w:cs="Times New Roman"/>
          <w:szCs w:val="24"/>
        </w:rPr>
      </w:pPr>
    </w:p>
    <w:p w:rsidR="001A11D4" w:rsidRDefault="001A11D4" w:rsidP="00ED365E">
      <w:pPr>
        <w:jc w:val="center"/>
        <w:rPr>
          <w:rFonts w:cs="Times New Roman"/>
          <w:szCs w:val="24"/>
        </w:rPr>
      </w:pPr>
    </w:p>
    <w:p w:rsidR="001A11D4" w:rsidRDefault="001A11D4" w:rsidP="00ED365E">
      <w:pPr>
        <w:jc w:val="center"/>
        <w:rPr>
          <w:rFonts w:cs="Times New Roman"/>
          <w:szCs w:val="24"/>
        </w:rPr>
      </w:pPr>
    </w:p>
    <w:p w:rsidR="001A11D4" w:rsidRDefault="001A11D4" w:rsidP="00ED365E">
      <w:pPr>
        <w:jc w:val="center"/>
        <w:rPr>
          <w:rFonts w:cs="Times New Roman"/>
          <w:szCs w:val="24"/>
        </w:rPr>
      </w:pPr>
    </w:p>
    <w:p w:rsidR="001A11D4" w:rsidRDefault="001A11D4" w:rsidP="00ED365E">
      <w:pPr>
        <w:jc w:val="center"/>
        <w:rPr>
          <w:rFonts w:cs="Times New Roman"/>
          <w:szCs w:val="24"/>
        </w:rPr>
      </w:pPr>
    </w:p>
    <w:p w:rsidR="001A11D4" w:rsidRDefault="001A11D4" w:rsidP="00ED365E">
      <w:pPr>
        <w:jc w:val="center"/>
        <w:rPr>
          <w:rFonts w:cs="Times New Roman"/>
          <w:szCs w:val="24"/>
        </w:rPr>
      </w:pPr>
    </w:p>
    <w:p w:rsidR="001A11D4" w:rsidRDefault="001A11D4" w:rsidP="00ED365E">
      <w:pPr>
        <w:jc w:val="center"/>
        <w:rPr>
          <w:rFonts w:cs="Times New Roman"/>
          <w:szCs w:val="24"/>
        </w:rPr>
      </w:pPr>
    </w:p>
    <w:p w:rsidR="001A11D4" w:rsidRDefault="001A11D4" w:rsidP="00ED365E">
      <w:pPr>
        <w:jc w:val="center"/>
        <w:rPr>
          <w:rFonts w:cs="Times New Roman"/>
          <w:szCs w:val="24"/>
        </w:rPr>
      </w:pPr>
    </w:p>
    <w:p w:rsidR="001A11D4" w:rsidRDefault="001A11D4" w:rsidP="00ED365E">
      <w:pPr>
        <w:jc w:val="center"/>
        <w:rPr>
          <w:rFonts w:cs="Times New Roman"/>
          <w:szCs w:val="24"/>
        </w:rPr>
      </w:pPr>
    </w:p>
    <w:p w:rsidR="001A11D4" w:rsidRDefault="001A11D4" w:rsidP="00ED365E">
      <w:pPr>
        <w:jc w:val="center"/>
        <w:rPr>
          <w:rFonts w:cs="Times New Roman"/>
          <w:szCs w:val="24"/>
        </w:rPr>
      </w:pPr>
    </w:p>
    <w:p w:rsidR="001A11D4" w:rsidRDefault="001A11D4" w:rsidP="00ED365E">
      <w:pPr>
        <w:jc w:val="center"/>
        <w:rPr>
          <w:rFonts w:cs="Times New Roman"/>
          <w:szCs w:val="24"/>
        </w:rPr>
      </w:pPr>
    </w:p>
    <w:p w:rsidR="001A11D4" w:rsidRDefault="001A11D4" w:rsidP="00ED365E">
      <w:pPr>
        <w:jc w:val="center"/>
        <w:rPr>
          <w:rFonts w:cs="Times New Roman"/>
          <w:szCs w:val="24"/>
        </w:rPr>
      </w:pPr>
    </w:p>
    <w:p w:rsidR="001A11D4" w:rsidRPr="00782CC3" w:rsidRDefault="001A11D4" w:rsidP="001A11D4">
      <w:pPr>
        <w:jc w:val="center"/>
        <w:rPr>
          <w:rFonts w:cs="Times New Roman"/>
          <w:b/>
          <w:bCs/>
          <w:szCs w:val="24"/>
        </w:rPr>
      </w:pPr>
      <w:r w:rsidRPr="00782CC3">
        <w:rPr>
          <w:rFonts w:cs="Times New Roman"/>
          <w:b/>
          <w:bCs/>
          <w:szCs w:val="24"/>
        </w:rPr>
        <w:t>Market Intervention in Response to Covid-19</w:t>
      </w:r>
    </w:p>
    <w:p w:rsidR="001A11D4" w:rsidRPr="00782CC3" w:rsidRDefault="001A11D4" w:rsidP="001A11D4">
      <w:pPr>
        <w:jc w:val="center"/>
        <w:rPr>
          <w:rFonts w:cs="Times New Roman"/>
          <w:b/>
          <w:bCs/>
          <w:szCs w:val="24"/>
        </w:rPr>
      </w:pPr>
      <w:r w:rsidRPr="00782CC3">
        <w:rPr>
          <w:rFonts w:cs="Times New Roman"/>
          <w:b/>
          <w:bCs/>
          <w:szCs w:val="24"/>
        </w:rPr>
        <w:t>Question 1</w:t>
      </w:r>
    </w:p>
    <w:p w:rsidR="001A11D4" w:rsidRPr="00B2372C" w:rsidRDefault="001A11D4" w:rsidP="001A11D4">
      <w:pPr>
        <w:rPr>
          <w:rFonts w:cs="Times New Roman"/>
          <w:szCs w:val="24"/>
        </w:rPr>
      </w:pPr>
      <w:r w:rsidRPr="00B2372C">
        <w:rPr>
          <w:rFonts w:cs="Times New Roman"/>
          <w:szCs w:val="24"/>
        </w:rPr>
        <w:lastRenderedPageBreak/>
        <w:t xml:space="preserve"> </w:t>
      </w:r>
      <w:r>
        <w:rPr>
          <w:rFonts w:cs="Times New Roman"/>
          <w:szCs w:val="24"/>
        </w:rPr>
        <w:tab/>
      </w:r>
      <w:r w:rsidRPr="00B2372C">
        <w:rPr>
          <w:rFonts w:cs="Times New Roman"/>
          <w:szCs w:val="24"/>
        </w:rPr>
        <w:t>While speaking on Wednesday 29</w:t>
      </w:r>
      <w:r w:rsidRPr="00B2372C">
        <w:rPr>
          <w:rFonts w:cs="Times New Roman"/>
          <w:szCs w:val="24"/>
          <w:vertAlign w:val="superscript"/>
        </w:rPr>
        <w:t>th</w:t>
      </w:r>
      <w:r w:rsidRPr="00B2372C">
        <w:rPr>
          <w:rFonts w:cs="Times New Roman"/>
          <w:szCs w:val="24"/>
        </w:rPr>
        <w:t>, July 2020, following a meeting held by the Fed officials, the chairman of the federal reserve chairman said that the united states economy is headed down a long path to recovery, and the public must be careful to prevent further spread of the virus and more expenditure by the legislature and the executive. He hinted that the economic environment has debilitated since the federal reserve rate-setting committee met seven months prior</w:t>
      </w:r>
      <w:r w:rsidRPr="00B2372C">
        <w:rPr>
          <w:rStyle w:val="selectable"/>
          <w:rFonts w:cs="Times New Roman"/>
          <w:color w:val="000000"/>
          <w:szCs w:val="24"/>
        </w:rPr>
        <w:t xml:space="preserve"> (</w:t>
      </w:r>
      <w:proofErr w:type="spellStart"/>
      <w:r w:rsidRPr="00B2372C">
        <w:rPr>
          <w:rStyle w:val="selectable"/>
          <w:rFonts w:cs="Times New Roman"/>
          <w:color w:val="000000"/>
          <w:szCs w:val="24"/>
        </w:rPr>
        <w:t>Timiraos</w:t>
      </w:r>
      <w:proofErr w:type="spellEnd"/>
      <w:r w:rsidRPr="00B2372C">
        <w:rPr>
          <w:rStyle w:val="selectable"/>
          <w:rFonts w:cs="Times New Roman"/>
          <w:color w:val="000000"/>
          <w:szCs w:val="24"/>
        </w:rPr>
        <w:t>, 2021)</w:t>
      </w:r>
      <w:r w:rsidRPr="00B2372C">
        <w:rPr>
          <w:rFonts w:cs="Times New Roman"/>
          <w:szCs w:val="24"/>
        </w:rPr>
        <w:t>. It is clear that that employment and consumer expenditure had decelerated. Fed officials have been finding ways to boost the economy after the drastic move to cut the interest rate to almost zero. They include adopting actions to mitigate the disease by debating a dilemma involving fighting the virus and continuing economic activities.</w:t>
      </w:r>
    </w:p>
    <w:p w:rsidR="001A11D4" w:rsidRPr="00B2372C" w:rsidRDefault="001A11D4" w:rsidP="001A11D4">
      <w:pPr>
        <w:ind w:firstLine="720"/>
        <w:rPr>
          <w:rFonts w:cs="Times New Roman"/>
          <w:szCs w:val="24"/>
        </w:rPr>
      </w:pPr>
      <w:r w:rsidRPr="00B2372C">
        <w:rPr>
          <w:rFonts w:cs="Times New Roman"/>
          <w:szCs w:val="24"/>
        </w:rPr>
        <w:t>Further, Mr. Powell alleged that measures put in place due to the corona pandemic and resuming the economic activities go hand in hand. The other is to upgrade government borrowing purchases and create a collection of emergency loaning programs to steady subsidy and credit markets. The fed chairman recommended expenditure and tax policy results by the legislature and the white house be presented urgently. Representatives of both democrats and republicans began talks on a novel round incentive with a 2.2 trillion relief bill's critical supplies.</w:t>
      </w:r>
    </w:p>
    <w:p w:rsidR="001A11D4" w:rsidRPr="00782CC3" w:rsidRDefault="001A11D4" w:rsidP="001A11D4">
      <w:pPr>
        <w:jc w:val="center"/>
        <w:rPr>
          <w:rFonts w:cs="Times New Roman"/>
          <w:b/>
          <w:bCs/>
          <w:szCs w:val="24"/>
        </w:rPr>
      </w:pPr>
      <w:r w:rsidRPr="00782CC3">
        <w:rPr>
          <w:rFonts w:cs="Times New Roman"/>
          <w:b/>
          <w:bCs/>
          <w:szCs w:val="24"/>
        </w:rPr>
        <w:t>Question 2</w:t>
      </w:r>
    </w:p>
    <w:p w:rsidR="001A11D4" w:rsidRPr="00B2372C" w:rsidRDefault="001A11D4" w:rsidP="001A11D4">
      <w:pPr>
        <w:ind w:firstLine="720"/>
        <w:rPr>
          <w:rFonts w:cs="Times New Roman"/>
          <w:szCs w:val="24"/>
        </w:rPr>
      </w:pPr>
      <w:r w:rsidRPr="00B2372C">
        <w:rPr>
          <w:rFonts w:cs="Times New Roman"/>
          <w:szCs w:val="24"/>
        </w:rPr>
        <w:t xml:space="preserve"> Fed administrators face three linked debates about how to deliver more incentive. The primary is concerned with the amount of time it will take to keep the taxes almost zero and purchase Treasury’s and loan bonds, at times known as </w:t>
      </w:r>
      <w:r w:rsidRPr="00B2372C">
        <w:rPr>
          <w:rFonts w:cs="Times New Roman"/>
          <w:i/>
          <w:iCs/>
          <w:szCs w:val="24"/>
        </w:rPr>
        <w:t xml:space="preserve">“forward guidance” </w:t>
      </w:r>
      <w:r w:rsidRPr="00B2372C">
        <w:rPr>
          <w:rFonts w:cs="Times New Roman"/>
          <w:szCs w:val="24"/>
        </w:rPr>
        <w:t>The next is centered on the decision bind to a flexible stimulus package with those acquisitions, as representatives did after the 2008 fiscal disaster. The 3rd involves closing an annual evaluation of the Fed’s long-haul policy-setting plan.</w:t>
      </w:r>
    </w:p>
    <w:p w:rsidR="001A11D4" w:rsidRPr="00782CC3" w:rsidRDefault="001A11D4" w:rsidP="001A11D4">
      <w:pPr>
        <w:jc w:val="center"/>
        <w:rPr>
          <w:rFonts w:cs="Times New Roman"/>
          <w:b/>
          <w:bCs/>
          <w:szCs w:val="24"/>
        </w:rPr>
      </w:pPr>
      <w:bookmarkStart w:id="0" w:name="_Hlk63260540"/>
      <w:r w:rsidRPr="00782CC3">
        <w:rPr>
          <w:rFonts w:cs="Times New Roman"/>
          <w:b/>
          <w:bCs/>
          <w:szCs w:val="24"/>
        </w:rPr>
        <w:t>Question 3</w:t>
      </w:r>
    </w:p>
    <w:p w:rsidR="001A11D4" w:rsidRPr="00B2372C" w:rsidRDefault="001A11D4" w:rsidP="001A11D4">
      <w:pPr>
        <w:ind w:firstLine="720"/>
        <w:rPr>
          <w:rFonts w:cs="Times New Roman"/>
          <w:szCs w:val="24"/>
        </w:rPr>
      </w:pPr>
      <w:r w:rsidRPr="00B2372C">
        <w:rPr>
          <w:rFonts w:cs="Times New Roman"/>
          <w:szCs w:val="24"/>
        </w:rPr>
        <w:lastRenderedPageBreak/>
        <w:t>The federal reserve, central banks, and European union central bank are pivotal in ensuring that the world economy does not decline further than what we saw during the pandemic and also to encourage prosperity; however, this does not mean printing since this will only solve liquidity as opposed to solvency. Resources are required to solve issues such as unemployment and poverty.</w:t>
      </w:r>
    </w:p>
    <w:p w:rsidR="001A11D4" w:rsidRPr="00782CC3" w:rsidRDefault="001A11D4" w:rsidP="001A11D4">
      <w:pPr>
        <w:jc w:val="center"/>
        <w:rPr>
          <w:rFonts w:cs="Times New Roman"/>
          <w:b/>
          <w:bCs/>
          <w:szCs w:val="24"/>
        </w:rPr>
      </w:pPr>
      <w:r w:rsidRPr="00782CC3">
        <w:rPr>
          <w:rFonts w:cs="Times New Roman"/>
          <w:b/>
          <w:bCs/>
          <w:szCs w:val="24"/>
        </w:rPr>
        <w:t>Question 4</w:t>
      </w:r>
    </w:p>
    <w:p w:rsidR="001A11D4" w:rsidRPr="00B2372C" w:rsidRDefault="001A11D4" w:rsidP="001A11D4">
      <w:pPr>
        <w:shd w:val="clear" w:color="auto" w:fill="FFFFFF"/>
        <w:spacing w:after="0"/>
        <w:ind w:firstLine="720"/>
        <w:rPr>
          <w:rFonts w:eastAsia="Times New Roman" w:cs="Times New Roman"/>
          <w:color w:val="666666"/>
          <w:szCs w:val="24"/>
        </w:rPr>
      </w:pPr>
      <w:r w:rsidRPr="00B2372C">
        <w:rPr>
          <w:rFonts w:cs="Times New Roman"/>
          <w:szCs w:val="24"/>
        </w:rPr>
        <w:t xml:space="preserve">Miss </w:t>
      </w:r>
      <w:proofErr w:type="spellStart"/>
      <w:r w:rsidRPr="00B2372C">
        <w:rPr>
          <w:rFonts w:cs="Times New Roman"/>
          <w:szCs w:val="24"/>
        </w:rPr>
        <w:t>Reinhard</w:t>
      </w:r>
      <w:proofErr w:type="spellEnd"/>
      <w:r w:rsidRPr="00B2372C">
        <w:rPr>
          <w:rFonts w:cs="Times New Roman"/>
          <w:szCs w:val="24"/>
        </w:rPr>
        <w:t xml:space="preserve"> means that although most countries are doing better than they did before the </w:t>
      </w:r>
      <w:proofErr w:type="spellStart"/>
      <w:r w:rsidRPr="00B2372C">
        <w:rPr>
          <w:rFonts w:cs="Times New Roman"/>
          <w:szCs w:val="24"/>
        </w:rPr>
        <w:t>covid</w:t>
      </w:r>
      <w:proofErr w:type="spellEnd"/>
      <w:r w:rsidRPr="00B2372C">
        <w:rPr>
          <w:rFonts w:cs="Times New Roman"/>
          <w:szCs w:val="24"/>
        </w:rPr>
        <w:t xml:space="preserve"> crisis hit, they have not returned to the level at which they were before the crisis. Even for the countries with v-shaped, they are still not at the same level before corona hit. While looking at other aspects of the economy, things like poverty level and crisis are uneven and take time to overcome</w:t>
      </w:r>
      <w:r w:rsidRPr="00B2372C">
        <w:rPr>
          <w:rFonts w:eastAsia="Times New Roman" w:cs="Times New Roman"/>
          <w:b/>
          <w:bCs/>
          <w:color w:val="666666"/>
          <w:szCs w:val="24"/>
        </w:rPr>
        <w:t> </w:t>
      </w:r>
      <w:r w:rsidRPr="00B2372C">
        <w:rPr>
          <w:rFonts w:eastAsia="Times New Roman" w:cs="Times New Roman"/>
          <w:color w:val="000000"/>
          <w:szCs w:val="24"/>
        </w:rPr>
        <w:t>(Norton, 2021)</w:t>
      </w:r>
      <w:r w:rsidRPr="00B2372C">
        <w:rPr>
          <w:rFonts w:cs="Times New Roman"/>
          <w:szCs w:val="24"/>
        </w:rPr>
        <w:t>.</w:t>
      </w:r>
    </w:p>
    <w:bookmarkEnd w:id="0"/>
    <w:p w:rsidR="001A11D4" w:rsidRDefault="001A11D4" w:rsidP="001A11D4">
      <w:pPr>
        <w:jc w:val="center"/>
        <w:rPr>
          <w:rFonts w:cs="Times New Roman"/>
          <w:b/>
          <w:bCs/>
          <w:szCs w:val="24"/>
        </w:rPr>
      </w:pPr>
    </w:p>
    <w:p w:rsidR="001A11D4" w:rsidRDefault="001A11D4" w:rsidP="001A11D4">
      <w:pPr>
        <w:jc w:val="center"/>
        <w:rPr>
          <w:rFonts w:cs="Times New Roman"/>
          <w:b/>
          <w:bCs/>
          <w:szCs w:val="24"/>
        </w:rPr>
      </w:pPr>
    </w:p>
    <w:p w:rsidR="001A11D4" w:rsidRDefault="001A11D4" w:rsidP="001A11D4">
      <w:pPr>
        <w:jc w:val="center"/>
        <w:rPr>
          <w:rFonts w:cs="Times New Roman"/>
          <w:szCs w:val="24"/>
        </w:rPr>
      </w:pPr>
    </w:p>
    <w:p w:rsidR="001A11D4" w:rsidRDefault="001A11D4" w:rsidP="001A11D4">
      <w:pPr>
        <w:jc w:val="center"/>
        <w:rPr>
          <w:rFonts w:cs="Times New Roman"/>
          <w:szCs w:val="24"/>
        </w:rPr>
      </w:pPr>
    </w:p>
    <w:p w:rsidR="001A11D4" w:rsidRDefault="001A11D4" w:rsidP="001A11D4">
      <w:pPr>
        <w:jc w:val="center"/>
        <w:rPr>
          <w:rFonts w:cs="Times New Roman"/>
          <w:szCs w:val="24"/>
        </w:rPr>
      </w:pPr>
    </w:p>
    <w:p w:rsidR="001A11D4" w:rsidRDefault="001A11D4" w:rsidP="001A11D4">
      <w:pPr>
        <w:jc w:val="center"/>
        <w:rPr>
          <w:rFonts w:cs="Times New Roman"/>
          <w:szCs w:val="24"/>
        </w:rPr>
      </w:pPr>
    </w:p>
    <w:p w:rsidR="001A11D4" w:rsidRDefault="001A11D4" w:rsidP="001A11D4">
      <w:pPr>
        <w:jc w:val="center"/>
        <w:rPr>
          <w:rFonts w:cs="Times New Roman"/>
          <w:szCs w:val="24"/>
        </w:rPr>
      </w:pPr>
    </w:p>
    <w:p w:rsidR="001A11D4" w:rsidRPr="00782CC3" w:rsidRDefault="001A11D4" w:rsidP="001A11D4">
      <w:pPr>
        <w:jc w:val="center"/>
        <w:rPr>
          <w:rFonts w:cs="Times New Roman"/>
          <w:szCs w:val="24"/>
        </w:rPr>
      </w:pPr>
      <w:r w:rsidRPr="00782CC3">
        <w:rPr>
          <w:rFonts w:cs="Times New Roman"/>
          <w:szCs w:val="24"/>
        </w:rPr>
        <w:t>References</w:t>
      </w:r>
    </w:p>
    <w:p w:rsidR="001A11D4" w:rsidRPr="00B2372C" w:rsidRDefault="001A11D4" w:rsidP="001A11D4">
      <w:pPr>
        <w:pStyle w:val="NormalWeb"/>
        <w:shd w:val="clear" w:color="auto" w:fill="FFFFFF"/>
        <w:spacing w:before="0" w:beforeAutospacing="0" w:after="0" w:afterAutospacing="0" w:line="480" w:lineRule="auto"/>
        <w:ind w:left="720" w:hanging="120"/>
        <w:jc w:val="center"/>
        <w:rPr>
          <w:color w:val="666666"/>
        </w:rPr>
      </w:pPr>
      <w:r w:rsidRPr="00B2372C">
        <w:rPr>
          <w:color w:val="000000"/>
        </w:rPr>
        <w:lastRenderedPageBreak/>
        <w:t xml:space="preserve">Norton, L. (2021). The </w:t>
      </w:r>
      <w:proofErr w:type="spellStart"/>
      <w:r w:rsidRPr="00B2372C">
        <w:rPr>
          <w:color w:val="000000"/>
        </w:rPr>
        <w:t>Covid</w:t>
      </w:r>
      <w:proofErr w:type="spellEnd"/>
      <w:r w:rsidRPr="00B2372C">
        <w:rPr>
          <w:color w:val="000000"/>
        </w:rPr>
        <w:t xml:space="preserve"> Crisis Will End. The Recovery May Take a Lot Longer from https://www.barrons.com/articles/the-covid-crisis-will-eventually-end-the-recovery-may-take-longer-51610103600</w:t>
      </w:r>
    </w:p>
    <w:p w:rsidR="001A11D4" w:rsidRPr="00B2372C" w:rsidRDefault="001A11D4" w:rsidP="001A11D4">
      <w:pPr>
        <w:pStyle w:val="NormalWeb"/>
        <w:shd w:val="clear" w:color="auto" w:fill="FFFFFF"/>
        <w:spacing w:before="0" w:beforeAutospacing="0" w:after="0" w:afterAutospacing="0" w:line="480" w:lineRule="auto"/>
        <w:ind w:left="720" w:hanging="720"/>
        <w:jc w:val="center"/>
        <w:rPr>
          <w:color w:val="666666"/>
        </w:rPr>
      </w:pPr>
      <w:proofErr w:type="spellStart"/>
      <w:r w:rsidRPr="00B2372C">
        <w:rPr>
          <w:rStyle w:val="selectable"/>
          <w:color w:val="000000"/>
        </w:rPr>
        <w:t>Timiraos</w:t>
      </w:r>
      <w:proofErr w:type="spellEnd"/>
      <w:r w:rsidRPr="00B2372C">
        <w:rPr>
          <w:rStyle w:val="selectable"/>
          <w:color w:val="000000"/>
        </w:rPr>
        <w:t>, N. (2021). Fed Maintains Stimulus Commitment as Economic Outlook Dims., from https://www.wsj.com/articles/fed-maintains-stimulus-commitment-as-economic-outlook-dims-11596045601</w:t>
      </w:r>
    </w:p>
    <w:p w:rsidR="001A11D4" w:rsidRPr="00B2372C" w:rsidRDefault="001A11D4" w:rsidP="001A11D4">
      <w:pPr>
        <w:ind w:left="720" w:hanging="720"/>
        <w:rPr>
          <w:rFonts w:cs="Times New Roman"/>
          <w:szCs w:val="24"/>
        </w:rPr>
      </w:pPr>
    </w:p>
    <w:p w:rsidR="001A11D4" w:rsidRPr="00B2372C" w:rsidRDefault="001A11D4" w:rsidP="001A11D4">
      <w:pPr>
        <w:rPr>
          <w:rFonts w:cs="Times New Roman"/>
          <w:szCs w:val="24"/>
        </w:rPr>
      </w:pPr>
    </w:p>
    <w:p w:rsidR="001A11D4" w:rsidRPr="00B2372C" w:rsidRDefault="001A11D4" w:rsidP="001A11D4">
      <w:pPr>
        <w:rPr>
          <w:rFonts w:cs="Times New Roman"/>
          <w:szCs w:val="24"/>
        </w:rPr>
      </w:pPr>
    </w:p>
    <w:p w:rsidR="001A11D4" w:rsidRPr="00B2372C" w:rsidRDefault="001A11D4" w:rsidP="001A11D4">
      <w:pPr>
        <w:rPr>
          <w:rFonts w:cs="Times New Roman"/>
          <w:szCs w:val="24"/>
        </w:rPr>
      </w:pPr>
    </w:p>
    <w:p w:rsidR="001A11D4" w:rsidRPr="00B2372C" w:rsidRDefault="001A11D4" w:rsidP="001A11D4">
      <w:pPr>
        <w:rPr>
          <w:rFonts w:cs="Times New Roman"/>
          <w:szCs w:val="24"/>
        </w:rPr>
      </w:pPr>
    </w:p>
    <w:p w:rsidR="001A11D4" w:rsidRPr="00B2372C" w:rsidRDefault="001A11D4" w:rsidP="001A11D4">
      <w:pPr>
        <w:rPr>
          <w:rFonts w:cs="Times New Roman"/>
          <w:szCs w:val="24"/>
        </w:rPr>
      </w:pPr>
    </w:p>
    <w:p w:rsidR="001A11D4" w:rsidRPr="00B2372C" w:rsidRDefault="001A11D4" w:rsidP="001A11D4">
      <w:pPr>
        <w:rPr>
          <w:rFonts w:cs="Times New Roman"/>
          <w:szCs w:val="24"/>
        </w:rPr>
      </w:pPr>
    </w:p>
    <w:p w:rsidR="001A11D4" w:rsidRPr="00B2372C" w:rsidRDefault="001A11D4" w:rsidP="001A11D4">
      <w:pPr>
        <w:rPr>
          <w:rFonts w:cs="Times New Roman"/>
          <w:szCs w:val="24"/>
        </w:rPr>
      </w:pPr>
    </w:p>
    <w:p w:rsidR="001A11D4" w:rsidRPr="00B2372C" w:rsidRDefault="001A11D4" w:rsidP="001A11D4">
      <w:pPr>
        <w:rPr>
          <w:rFonts w:cs="Times New Roman"/>
          <w:szCs w:val="24"/>
        </w:rPr>
      </w:pPr>
    </w:p>
    <w:p w:rsidR="001A11D4" w:rsidRPr="00B2372C" w:rsidRDefault="001A11D4" w:rsidP="001A11D4">
      <w:pPr>
        <w:rPr>
          <w:rFonts w:cs="Times New Roman"/>
          <w:szCs w:val="24"/>
        </w:rPr>
      </w:pPr>
    </w:p>
    <w:p w:rsidR="001A11D4" w:rsidRPr="00B2372C" w:rsidRDefault="001A11D4" w:rsidP="001A11D4">
      <w:pPr>
        <w:rPr>
          <w:rFonts w:cs="Times New Roman"/>
          <w:szCs w:val="24"/>
        </w:rPr>
      </w:pPr>
    </w:p>
    <w:p w:rsidR="001A11D4" w:rsidRPr="00DD128D" w:rsidRDefault="001A11D4" w:rsidP="00ED365E">
      <w:pPr>
        <w:jc w:val="center"/>
        <w:rPr>
          <w:rFonts w:cs="Times New Roman"/>
          <w:szCs w:val="24"/>
        </w:rPr>
      </w:pPr>
    </w:p>
    <w:sectPr w:rsidR="001A11D4" w:rsidRPr="00DD128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86942" w:rsidRDefault="00B86942">
      <w:pPr>
        <w:spacing w:after="0" w:line="240" w:lineRule="auto"/>
      </w:pPr>
      <w:r>
        <w:separator/>
      </w:r>
    </w:p>
  </w:endnote>
  <w:endnote w:type="continuationSeparator" w:id="0">
    <w:p w:rsidR="00B86942" w:rsidRDefault="00B86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86942" w:rsidRDefault="00B86942">
      <w:pPr>
        <w:spacing w:after="0" w:line="240" w:lineRule="auto"/>
      </w:pPr>
      <w:r>
        <w:separator/>
      </w:r>
    </w:p>
  </w:footnote>
  <w:footnote w:type="continuationSeparator" w:id="0">
    <w:p w:rsidR="00B86942" w:rsidRDefault="00B86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0931094"/>
      <w:docPartObj>
        <w:docPartGallery w:val="Page Numbers (Top of Page)"/>
        <w:docPartUnique/>
      </w:docPartObj>
    </w:sdtPr>
    <w:sdtEndPr>
      <w:rPr>
        <w:noProof/>
      </w:rPr>
    </w:sdtEndPr>
    <w:sdtContent>
      <w:p w:rsidR="00ED365E" w:rsidRDefault="007E6257">
        <w:pPr>
          <w:pStyle w:val="Header"/>
          <w:jc w:val="right"/>
        </w:pPr>
        <w:r>
          <w:fldChar w:fldCharType="begin"/>
        </w:r>
        <w:r>
          <w:instrText xml:space="preserve"> PAGE   \* MERGEFORMAT </w:instrText>
        </w:r>
        <w:r>
          <w:fldChar w:fldCharType="separate"/>
        </w:r>
        <w:r w:rsidR="001A11D4">
          <w:rPr>
            <w:noProof/>
          </w:rPr>
          <w:t>1</w:t>
        </w:r>
        <w:r>
          <w:rPr>
            <w:noProof/>
          </w:rPr>
          <w:fldChar w:fldCharType="end"/>
        </w:r>
      </w:p>
    </w:sdtContent>
  </w:sdt>
  <w:p w:rsidR="00ED365E" w:rsidRDefault="00ED36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A46"/>
    <w:rsid w:val="001A11D4"/>
    <w:rsid w:val="001C4CD1"/>
    <w:rsid w:val="00240871"/>
    <w:rsid w:val="002853EC"/>
    <w:rsid w:val="00323F97"/>
    <w:rsid w:val="00325A36"/>
    <w:rsid w:val="00414BFF"/>
    <w:rsid w:val="005E396A"/>
    <w:rsid w:val="00731C6E"/>
    <w:rsid w:val="007A3E1E"/>
    <w:rsid w:val="007E6257"/>
    <w:rsid w:val="0083444F"/>
    <w:rsid w:val="008E2C11"/>
    <w:rsid w:val="009257ED"/>
    <w:rsid w:val="009C3B55"/>
    <w:rsid w:val="00B00F3D"/>
    <w:rsid w:val="00B86942"/>
    <w:rsid w:val="00CA212C"/>
    <w:rsid w:val="00CA2AB0"/>
    <w:rsid w:val="00DD128D"/>
    <w:rsid w:val="00E87A46"/>
    <w:rsid w:val="00EB42CF"/>
    <w:rsid w:val="00ED365E"/>
    <w:rsid w:val="00F126F0"/>
    <w:rsid w:val="00FB5A6D"/>
    <w:rsid w:val="00FD4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F66439-53C5-4107-BB94-F97262EA2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7A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A46"/>
    <w:rPr>
      <w:rFonts w:ascii="Segoe UI" w:hAnsi="Segoe UI" w:cs="Segoe UI"/>
      <w:sz w:val="18"/>
      <w:szCs w:val="18"/>
    </w:rPr>
  </w:style>
  <w:style w:type="paragraph" w:styleId="Header">
    <w:name w:val="header"/>
    <w:basedOn w:val="Normal"/>
    <w:link w:val="HeaderChar"/>
    <w:uiPriority w:val="99"/>
    <w:unhideWhenUsed/>
    <w:rsid w:val="00ED36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65E"/>
  </w:style>
  <w:style w:type="paragraph" w:styleId="Footer">
    <w:name w:val="footer"/>
    <w:basedOn w:val="Normal"/>
    <w:link w:val="FooterChar"/>
    <w:uiPriority w:val="99"/>
    <w:unhideWhenUsed/>
    <w:rsid w:val="00ED36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65E"/>
  </w:style>
  <w:style w:type="character" w:customStyle="1" w:styleId="gray">
    <w:name w:val="gray"/>
    <w:basedOn w:val="DefaultParagraphFont"/>
    <w:rsid w:val="00FB5A6D"/>
  </w:style>
  <w:style w:type="paragraph" w:styleId="NormalWeb">
    <w:name w:val="Normal (Web)"/>
    <w:basedOn w:val="Normal"/>
    <w:uiPriority w:val="99"/>
    <w:unhideWhenUsed/>
    <w:rsid w:val="00FB5A6D"/>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B5A6D"/>
    <w:rPr>
      <w:i/>
      <w:iCs/>
    </w:rPr>
  </w:style>
  <w:style w:type="character" w:styleId="Hyperlink">
    <w:name w:val="Hyperlink"/>
    <w:basedOn w:val="DefaultParagraphFont"/>
    <w:uiPriority w:val="99"/>
    <w:semiHidden/>
    <w:unhideWhenUsed/>
    <w:rsid w:val="00FB5A6D"/>
    <w:rPr>
      <w:color w:val="0000FF"/>
      <w:u w:val="single"/>
    </w:rPr>
  </w:style>
  <w:style w:type="character" w:customStyle="1" w:styleId="selectable">
    <w:name w:val="selectable"/>
    <w:basedOn w:val="DefaultParagraphFont"/>
    <w:rsid w:val="001A1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63014">
      <w:bodyDiv w:val="1"/>
      <w:marLeft w:val="0"/>
      <w:marRight w:val="0"/>
      <w:marTop w:val="0"/>
      <w:marBottom w:val="0"/>
      <w:divBdr>
        <w:top w:val="none" w:sz="0" w:space="0" w:color="auto"/>
        <w:left w:val="none" w:sz="0" w:space="0" w:color="auto"/>
        <w:bottom w:val="none" w:sz="0" w:space="0" w:color="auto"/>
        <w:right w:val="none" w:sz="0" w:space="0" w:color="auto"/>
      </w:divBdr>
    </w:div>
    <w:div w:id="21963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nkinfosecurity.com/breach-verificationsio-exposes" TargetMode="External" /><Relationship Id="rId3" Type="http://schemas.openxmlformats.org/officeDocument/2006/relationships/webSettings" Target="webSettings.xml" /><Relationship Id="rId7" Type="http://schemas.openxmlformats.org/officeDocument/2006/relationships/hyperlink" Target="https://doi.org/10.1016/j.jaccedu.2018.05.002"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11/poms.12838"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www.wired.com/story/cam4-adult-cam-data-leak-7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1285</Words>
  <Characters>7328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cp:lastPrinted>2021-02-03T09:37:00Z</cp:lastPrinted>
  <dcterms:created xsi:type="dcterms:W3CDTF">2021-02-03T20:41:00Z</dcterms:created>
  <dcterms:modified xsi:type="dcterms:W3CDTF">2021-02-03T20:41:00Z</dcterms:modified>
</cp:coreProperties>
</file>